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Каз</w:t>
      </w:r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аль-Фараби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461AA" w:rsidRPr="00B461AA">
        <w:rPr>
          <w:rFonts w:ascii="Times New Roman" w:hAnsi="Times New Roman" w:cs="Times New Roman"/>
          <w:b/>
          <w:bCs/>
          <w:sz w:val="24"/>
          <w:szCs w:val="24"/>
        </w:rPr>
        <w:t>Микропроцессоры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Pr="005E2EE6">
        <w:rPr>
          <w:rFonts w:ascii="Times New Roman" w:hAnsi="Times New Roman" w:cs="Times New Roman"/>
          <w:b/>
          <w:sz w:val="24"/>
          <w:szCs w:val="24"/>
        </w:rPr>
        <w:t>6B07110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461A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D56E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61AA" w:rsidRPr="00B461AA">
        <w:rPr>
          <w:rFonts w:ascii="Times New Roman" w:hAnsi="Times New Roman" w:cs="Times New Roman"/>
          <w:b/>
          <w:sz w:val="24"/>
          <w:szCs w:val="24"/>
        </w:rPr>
        <w:t>3</w:t>
      </w:r>
    </w:p>
    <w:p w:rsidR="00D5262A" w:rsidRPr="00B461A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B461AA" w:rsidRPr="00B461AA">
        <w:rPr>
          <w:rFonts w:ascii="Times New Roman" w:hAnsi="Times New Roman" w:cs="Times New Roman"/>
          <w:b/>
          <w:sz w:val="24"/>
          <w:szCs w:val="24"/>
        </w:rPr>
        <w:t>6</w:t>
      </w:r>
    </w:p>
    <w:p w:rsidR="00D5262A" w:rsidRPr="00B461A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="00B461AA" w:rsidRPr="00B461AA">
        <w:rPr>
          <w:rFonts w:ascii="Times New Roman" w:hAnsi="Times New Roman" w:cs="Times New Roman"/>
          <w:b/>
          <w:sz w:val="24"/>
          <w:szCs w:val="24"/>
        </w:rPr>
        <w:t>5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</w:t>
      </w:r>
      <w:r w:rsidR="00B461A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>протокол №</w:t>
      </w:r>
      <w:r w:rsidR="00B461AA" w:rsidRPr="00B461AA">
        <w:rPr>
          <w:rFonts w:ascii="Times New Roman" w:hAnsi="Times New Roman" w:cs="Times New Roman"/>
          <w:sz w:val="24"/>
          <w:szCs w:val="24"/>
        </w:rPr>
        <w:t>__</w:t>
      </w:r>
      <w:r w:rsidRPr="005E2EE6">
        <w:rPr>
          <w:rFonts w:ascii="Times New Roman" w:hAnsi="Times New Roman" w:cs="Times New Roman"/>
          <w:sz w:val="24"/>
          <w:szCs w:val="24"/>
        </w:rPr>
        <w:t xml:space="preserve">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="00B461AA" w:rsidRPr="00B461A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B461AA" w:rsidRPr="00B461AA">
        <w:rPr>
          <w:rFonts w:ascii="Times New Roman" w:hAnsi="Times New Roman" w:cs="Times New Roman"/>
          <w:sz w:val="24"/>
          <w:szCs w:val="24"/>
        </w:rPr>
        <w:t>_</w:t>
      </w:r>
      <w:r w:rsidRPr="005E2EE6">
        <w:rPr>
          <w:rFonts w:ascii="Times New Roman" w:hAnsi="Times New Roman" w:cs="Times New Roman"/>
          <w:sz w:val="24"/>
          <w:szCs w:val="24"/>
        </w:rPr>
        <w:t>.</w:t>
      </w:r>
      <w:r w:rsidR="00B461AA" w:rsidRPr="00B461A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461AA" w:rsidRPr="00B461AA">
        <w:rPr>
          <w:rFonts w:ascii="Times New Roman" w:hAnsi="Times New Roman" w:cs="Times New Roman"/>
          <w:sz w:val="24"/>
          <w:szCs w:val="24"/>
        </w:rPr>
        <w:t>_</w:t>
      </w:r>
      <w:r w:rsidRPr="005E2EE6">
        <w:rPr>
          <w:rFonts w:ascii="Times New Roman" w:hAnsi="Times New Roman" w:cs="Times New Roman"/>
          <w:sz w:val="24"/>
          <w:szCs w:val="24"/>
        </w:rPr>
        <w:t>.202</w:t>
      </w:r>
      <w:r w:rsidR="00B461AA" w:rsidRPr="00B461AA">
        <w:rPr>
          <w:rFonts w:ascii="Times New Roman" w:hAnsi="Times New Roman" w:cs="Times New Roman"/>
          <w:sz w:val="24"/>
          <w:szCs w:val="24"/>
        </w:rPr>
        <w:t>6</w:t>
      </w:r>
      <w:r w:rsidRPr="005E2E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461AA" w:rsidRPr="00B461AA">
        <w:rPr>
          <w:rFonts w:ascii="Times New Roman" w:hAnsi="Times New Roman" w:cs="Times New Roman"/>
          <w:b/>
          <w:bCs/>
          <w:sz w:val="24"/>
          <w:szCs w:val="24"/>
        </w:rPr>
        <w:t>Микропроцессоры</w:t>
      </w:r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461AA" w:rsidRPr="00B461AA">
        <w:rPr>
          <w:rFonts w:ascii="Times New Roman" w:hAnsi="Times New Roman" w:cs="Times New Roman"/>
          <w:sz w:val="24"/>
          <w:szCs w:val="24"/>
        </w:rPr>
        <w:t>Микропроцессоры</w:t>
      </w:r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6В07110</w:t>
      </w:r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B461AA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B461AA" w:rsidRPr="00B461AA">
        <w:rPr>
          <w:rFonts w:ascii="Times New Roman" w:hAnsi="Times New Roman" w:cs="Times New Roman"/>
          <w:sz w:val="24"/>
          <w:szCs w:val="24"/>
        </w:rPr>
        <w:t>3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>синхронная, оффлайн.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расписании аудитории.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теоретических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Значение в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Решена полностью и без ошибок. Применены правильные методы и подходы,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решение выполнено точно и грамотно с выводом, 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Решена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Частично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решена,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Не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решена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8565"/>
      </w:tblGrid>
      <w:tr w:rsidR="00EA1AC7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Микропроцессор, микроконтроллер, SBC: отличия, области применения в робототехнике, критерии выбора.</w:t>
            </w:r>
          </w:p>
        </w:tc>
      </w:tr>
      <w:tr w:rsidR="00EA1AC7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Архитектура МК: ядро CPU, регистры, память (Flash/RAM), шины, тактирование.</w:t>
            </w:r>
          </w:p>
        </w:tc>
      </w:tr>
      <w:tr w:rsidR="00EA1AC7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Карта памяти и адресное пространство: назначение областей, работа с регистрами периферии.</w:t>
            </w:r>
          </w:p>
        </w:tc>
      </w:tr>
      <w:tr w:rsidR="00EA1AC7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Представление данных: целые/вещественные, знаковые/беззнаковые, переполнения, масштабирование измерений.</w:t>
            </w:r>
          </w:p>
        </w:tc>
      </w:tr>
      <w:tr w:rsidR="00EA1AC7" w:rsidRPr="00EA1AC7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EA1AC7" w:rsidRDefault="00EA1AC7" w:rsidP="00EA1AC7">
            <w:pPr>
              <w:pStyle w:val="aa"/>
              <w:rPr>
                <w:lang w:val="kk-KZ"/>
              </w:rPr>
            </w:pPr>
            <w:r w:rsidRPr="00EA1AC7">
              <w:rPr>
                <w:lang w:val="kk-KZ"/>
              </w:rPr>
              <w:t>GPIO: режимы ввода/вывода, подтяжки, уровни, антидребезг (polling vs interrupts).</w:t>
            </w:r>
          </w:p>
        </w:tc>
      </w:tr>
      <w:tr w:rsidR="00EA1AC7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Прерывания: причины, приоритеты, правила написания ISR, латентность и джиттер.</w:t>
            </w:r>
          </w:p>
        </w:tc>
      </w:tr>
      <w:tr w:rsidR="00EA1AC7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 xml:space="preserve">Таймеры/счётчики: режимы, базовые формулы расчёта частоты/периода, </w:t>
            </w:r>
            <w:proofErr w:type="spellStart"/>
            <w:r w:rsidRPr="00F417C7">
              <w:t>capture</w:t>
            </w:r>
            <w:proofErr w:type="spellEnd"/>
            <w:r w:rsidRPr="00F417C7">
              <w:t>/</w:t>
            </w:r>
            <w:proofErr w:type="spellStart"/>
            <w:r w:rsidRPr="00F417C7">
              <w:t>compare</w:t>
            </w:r>
            <w:proofErr w:type="spellEnd"/>
            <w:r w:rsidRPr="00F417C7">
              <w:t>.</w:t>
            </w:r>
          </w:p>
        </w:tc>
      </w:tr>
      <w:tr w:rsidR="00EA1AC7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PWM: принцип, расчёт частоты и скважности, управление сервоприводом/мотором, ограничения.</w:t>
            </w:r>
          </w:p>
        </w:tc>
      </w:tr>
      <w:tr w:rsidR="00EA1AC7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АЦП (ADC): принципы, разрядность, частота дискретизации, шум, методы фильтрации/усреднения.</w:t>
            </w:r>
          </w:p>
        </w:tc>
      </w:tr>
      <w:tr w:rsidR="00EA1AC7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 xml:space="preserve">UART/USART: структура кадра, </w:t>
            </w:r>
            <w:proofErr w:type="spellStart"/>
            <w:r w:rsidRPr="00F417C7">
              <w:t>baudrate</w:t>
            </w:r>
            <w:proofErr w:type="spellEnd"/>
            <w:r w:rsidRPr="00F417C7">
              <w:t>, буферизация, типичные ошибки и методы контроля.</w:t>
            </w:r>
          </w:p>
        </w:tc>
      </w:tr>
      <w:tr w:rsidR="00EA1AC7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 xml:space="preserve">I2C: адресация, START/STOP, ACK/NACK, </w:t>
            </w:r>
            <w:proofErr w:type="spellStart"/>
            <w:r w:rsidRPr="00F417C7">
              <w:t>pull-up</w:t>
            </w:r>
            <w:proofErr w:type="spellEnd"/>
            <w:r w:rsidRPr="00F417C7">
              <w:t>, типовые проблемы (зависание шины и т.п.).</w:t>
            </w:r>
          </w:p>
        </w:tc>
      </w:tr>
      <w:tr w:rsidR="00EA1AC7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SPI: режимы CPOL/CPHA, роль CS, скорость, надёжность обмена, типовые ошибки.</w:t>
            </w:r>
          </w:p>
        </w:tc>
      </w:tr>
      <w:tr w:rsidR="00EA1AC7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 xml:space="preserve">CAN или RS-485 (если изучается): назначение, топология, терминаторы, преимущества в </w:t>
            </w:r>
            <w:proofErr w:type="spellStart"/>
            <w:r w:rsidRPr="00F417C7">
              <w:t>роботосетях</w:t>
            </w:r>
            <w:proofErr w:type="spellEnd"/>
            <w:r w:rsidRPr="00F417C7">
              <w:t>.</w:t>
            </w:r>
          </w:p>
        </w:tc>
      </w:tr>
      <w:tr w:rsidR="00EA1AC7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>Управление приводами с обратной связью: энкодеры, измерение скорости/позиции, основы PID и дискретизации.</w:t>
            </w:r>
          </w:p>
        </w:tc>
      </w:tr>
      <w:tr w:rsidR="00EA1AC7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F417C7" w:rsidRDefault="00EA1AC7" w:rsidP="00EA1AC7">
            <w:pPr>
              <w:pStyle w:val="aa"/>
            </w:pPr>
            <w:r w:rsidRPr="00F417C7">
              <w:t xml:space="preserve">Надёжность встроенных систем: </w:t>
            </w:r>
            <w:proofErr w:type="spellStart"/>
            <w:r w:rsidRPr="00F417C7">
              <w:t>watchdog</w:t>
            </w:r>
            <w:proofErr w:type="spellEnd"/>
            <w:r w:rsidRPr="00F417C7">
              <w:t xml:space="preserve">, </w:t>
            </w:r>
            <w:proofErr w:type="spellStart"/>
            <w:r w:rsidRPr="00F417C7">
              <w:t>brown-out</w:t>
            </w:r>
            <w:proofErr w:type="spellEnd"/>
            <w:r w:rsidRPr="00F417C7">
              <w:t>, обработка ошибок, питание и EMI/ESD основы, логирование.</w:t>
            </w:r>
          </w:p>
        </w:tc>
      </w:tr>
    </w:tbl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8531"/>
      </w:tblGrid>
      <w:tr w:rsidR="00EA1AC7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 xml:space="preserve">Создать проект и настроить GPIO: LED + кнопка, реализовать </w:t>
            </w:r>
            <w:proofErr w:type="spellStart"/>
            <w:r w:rsidRPr="00AC4FF6">
              <w:t>антидребезг</w:t>
            </w:r>
            <w:proofErr w:type="spellEnd"/>
            <w:r w:rsidRPr="00AC4FF6">
              <w:t xml:space="preserve"> (программный).</w:t>
            </w:r>
          </w:p>
        </w:tc>
      </w:tr>
      <w:tr w:rsidR="00EA1AC7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обработку кнопки через прерывание с корректной логикой (без тяжёлых операций в ISR).</w:t>
            </w:r>
          </w:p>
        </w:tc>
      </w:tr>
      <w:tr w:rsidR="00EA1AC7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 xml:space="preserve">Рассчитать параметры таймера для получения заданного периода (например, 1 мс) и реализовать </w:t>
            </w:r>
            <w:proofErr w:type="spellStart"/>
            <w:r w:rsidRPr="00AC4FF6">
              <w:t>periodic</w:t>
            </w:r>
            <w:proofErr w:type="spellEnd"/>
            <w:r w:rsidRPr="00AC4FF6">
              <w:t xml:space="preserve"> </w:t>
            </w:r>
            <w:proofErr w:type="spellStart"/>
            <w:r w:rsidRPr="00AC4FF6">
              <w:t>interrupt</w:t>
            </w:r>
            <w:proofErr w:type="spellEnd"/>
            <w:r w:rsidRPr="00AC4FF6">
              <w:t>.</w:t>
            </w:r>
          </w:p>
        </w:tc>
      </w:tr>
      <w:tr w:rsidR="00EA1AC7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Настроить PWM для сервопривода 50 Гц (1–2 мс) и продемонстрировать управление углом.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Настроить PWM для управления DC-мотором через драйвер: скважность, плавный старт (</w:t>
            </w:r>
            <w:proofErr w:type="spellStart"/>
            <w:r w:rsidRPr="00AC4FF6">
              <w:t>soft-start</w:t>
            </w:r>
            <w:proofErr w:type="spellEnd"/>
            <w:r w:rsidRPr="00AC4FF6">
              <w:t>).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Настроить ADC для чтения аналогового сигнала, выполнить масштабирование в физические единицы.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фильтрацию измерений (</w:t>
            </w:r>
            <w:proofErr w:type="spellStart"/>
            <w:r w:rsidRPr="00AC4FF6">
              <w:t>moving</w:t>
            </w:r>
            <w:proofErr w:type="spellEnd"/>
            <w:r w:rsidRPr="00AC4FF6">
              <w:t xml:space="preserve"> </w:t>
            </w:r>
            <w:proofErr w:type="spellStart"/>
            <w:r w:rsidRPr="00AC4FF6">
              <w:t>average</w:t>
            </w:r>
            <w:proofErr w:type="spellEnd"/>
            <w:r w:rsidRPr="00AC4FF6">
              <w:t xml:space="preserve"> / IIR) и сравнить “до/после” (таблица/вывод).</w:t>
            </w:r>
          </w:p>
        </w:tc>
      </w:tr>
      <w:tr w:rsidR="00EA1AC7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UART-обмен с ПК: команды управления и вывод телеметрии.</w:t>
            </w:r>
          </w:p>
        </w:tc>
      </w:tr>
      <w:tr w:rsidR="00EA1AC7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формат пакета (</w:t>
            </w:r>
            <w:proofErr w:type="spellStart"/>
            <w:r w:rsidRPr="00AC4FF6">
              <w:t>header</w:t>
            </w:r>
            <w:proofErr w:type="spellEnd"/>
            <w:r w:rsidRPr="00AC4FF6">
              <w:t>/</w:t>
            </w:r>
            <w:proofErr w:type="spellStart"/>
            <w:r w:rsidRPr="00AC4FF6">
              <w:t>payload</w:t>
            </w:r>
            <w:proofErr w:type="spellEnd"/>
            <w:r w:rsidRPr="00AC4FF6">
              <w:t>/</w:t>
            </w:r>
            <w:proofErr w:type="spellStart"/>
            <w:r w:rsidRPr="00AC4FF6">
              <w:t>checksum</w:t>
            </w:r>
            <w:proofErr w:type="spellEnd"/>
            <w:r w:rsidRPr="00AC4FF6">
              <w:t xml:space="preserve"> или CRC) и обработку ошибок на UART.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I2C-сканер адресов и чтение регистра выбранного датчика.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чтение данных IMU/датчика по I2C с базовой калибровкой/нормализацией.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обмен по SPI с устройством (например, дисплей/Flash/датчик): чтение/запись тестовых данных.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обмен между двумя узлами по CAN или RS-485 (если изучается): отправка/приём кадров.</w:t>
            </w:r>
          </w:p>
        </w:tc>
      </w:tr>
      <w:tr w:rsidR="00EA1AC7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измерение скорости по энкодеру (RPM) и вывод результата в телеметрию.</w:t>
            </w:r>
          </w:p>
        </w:tc>
      </w:tr>
      <w:tr w:rsidR="00EA1AC7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:rsidR="00EA1AC7" w:rsidRPr="00A4109D" w:rsidRDefault="00EA1AC7" w:rsidP="00EA1AC7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7" w:rsidRPr="00AC4FF6" w:rsidRDefault="00EA1AC7" w:rsidP="00EA1AC7">
            <w:pPr>
              <w:pStyle w:val="aa"/>
            </w:pPr>
            <w:r w:rsidRPr="00AC4FF6">
              <w:t>Реализовать простой контур управления (PID) по скорости/позиции и показать устойчивую работу (критерии качества).</w:t>
            </w:r>
          </w:p>
        </w:tc>
      </w:tr>
    </w:tbl>
    <w:p w:rsidR="00D5262A" w:rsidRPr="00A4109D" w:rsidRDefault="00D5262A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EA1AC7" w:rsidRPr="00EA1AC7" w:rsidRDefault="00EA1AC7" w:rsidP="00EA1AC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A1A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Основная</w:t>
      </w:r>
    </w:p>
    <w:p w:rsidR="00EA1AC7" w:rsidRPr="00EA1AC7" w:rsidRDefault="00EA1AC7" w:rsidP="00EA1AC7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Jonathan W. Valvano — </w:t>
      </w:r>
      <w:r w:rsidRPr="00EA1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Embedded Systems: Introduction to ARM Cortex-M Microcontrollers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серия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Embedded Systems).</w:t>
      </w:r>
    </w:p>
    <w:p w:rsidR="00EA1AC7" w:rsidRPr="00EA1AC7" w:rsidRDefault="00EA1AC7" w:rsidP="00EA1AC7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Mazidi</w:t>
      </w:r>
      <w:proofErr w:type="spellEnd"/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Naimi, Naimi — </w:t>
      </w:r>
      <w:r w:rsidRPr="00EA1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ARM Assembly Language / Embedded Systems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выбранной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платформе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AVR/PIC).</w:t>
      </w:r>
    </w:p>
    <w:p w:rsidR="00EA1AC7" w:rsidRPr="00EA1AC7" w:rsidRDefault="00EA1AC7" w:rsidP="00EA1AC7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Документация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производителя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выбранного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МК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r w:rsidRPr="00EA1A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Datasheet + Reference Manual + Application Notes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EA1AC7" w:rsidRPr="00EA1AC7" w:rsidRDefault="00EA1AC7" w:rsidP="00EA1AC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A1A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Дополнительная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Joseph Yiu — </w:t>
      </w:r>
      <w:r w:rsidRPr="00EA1A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The Definitive Guide to ARM Cortex-M3/M4/M7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ядрам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Cortex-M).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EA1AC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lastRenderedPageBreak/>
        <w:t>FreeRTOS</w:t>
      </w:r>
      <w:proofErr w:type="spellEnd"/>
      <w:r w:rsidRPr="00EA1AC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EA1AC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Documentation</w:t>
      </w:r>
      <w:proofErr w:type="spellEnd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(задачи, очереди, семафоры, тайминги).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“Making Embedded Systems” — Elecia White (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проектированию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embedded-</w:t>
      </w: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</w:t>
      </w:r>
      <w:r w:rsidRPr="00EA1AC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).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Jack </w:t>
      </w:r>
      <w:proofErr w:type="spellStart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Ganssle</w:t>
      </w:r>
      <w:proofErr w:type="spellEnd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— материалы по </w:t>
      </w:r>
      <w:proofErr w:type="spellStart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embedded</w:t>
      </w:r>
      <w:proofErr w:type="spellEnd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-отладке и надёжности (</w:t>
      </w:r>
      <w:proofErr w:type="spellStart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watchdog</w:t>
      </w:r>
      <w:proofErr w:type="spellEnd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, ошибки, практики).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Спецификация I2C (UM10204, NXP) — тайминги и правила обмена.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Спецификации UART/SPI (</w:t>
      </w:r>
      <w:proofErr w:type="spellStart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вендорные</w:t>
      </w:r>
      <w:proofErr w:type="spellEnd"/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RM + AN) — практические режимы и ошибки.</w:t>
      </w:r>
    </w:p>
    <w:p w:rsidR="00EA1AC7" w:rsidRPr="00EA1AC7" w:rsidRDefault="00EA1AC7" w:rsidP="00EA1AC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1A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 указания кафедры (лабы, требования к отчётам, критерии оценивания).</w:t>
      </w:r>
    </w:p>
    <w:p w:rsidR="00D5262A" w:rsidRPr="00EA1AC7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5262A" w:rsidRPr="00EA1AC7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B461AA" w:rsidRPr="00B461AA">
        <w:rPr>
          <w:rFonts w:ascii="Times New Roman" w:hAnsi="Times New Roman" w:cs="Times New Roman"/>
          <w:b/>
          <w:sz w:val="20"/>
          <w:szCs w:val="20"/>
        </w:rPr>
        <w:t>Микропроцессоры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й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0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6D5"/>
    <w:multiLevelType w:val="multilevel"/>
    <w:tmpl w:val="1FF44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82531"/>
    <w:multiLevelType w:val="hybridMultilevel"/>
    <w:tmpl w:val="158C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562943"/>
    <w:multiLevelType w:val="multilevel"/>
    <w:tmpl w:val="31CE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341243">
    <w:abstractNumId w:val="8"/>
  </w:num>
  <w:num w:numId="2" w16cid:durableId="1824469480">
    <w:abstractNumId w:val="2"/>
  </w:num>
  <w:num w:numId="3" w16cid:durableId="1437408648">
    <w:abstractNumId w:val="7"/>
  </w:num>
  <w:num w:numId="4" w16cid:durableId="1454790684">
    <w:abstractNumId w:val="5"/>
  </w:num>
  <w:num w:numId="5" w16cid:durableId="1342702607">
    <w:abstractNumId w:val="4"/>
  </w:num>
  <w:num w:numId="6" w16cid:durableId="1171336088">
    <w:abstractNumId w:val="6"/>
  </w:num>
  <w:num w:numId="7" w16cid:durableId="1985885957">
    <w:abstractNumId w:val="10"/>
  </w:num>
  <w:num w:numId="8" w16cid:durableId="419840661">
    <w:abstractNumId w:val="3"/>
  </w:num>
  <w:num w:numId="9" w16cid:durableId="174077241">
    <w:abstractNumId w:val="1"/>
  </w:num>
  <w:num w:numId="10" w16cid:durableId="1835536238">
    <w:abstractNumId w:val="9"/>
  </w:num>
  <w:num w:numId="11" w16cid:durableId="94176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2A"/>
    <w:rsid w:val="0006221D"/>
    <w:rsid w:val="002F0FC4"/>
    <w:rsid w:val="004649ED"/>
    <w:rsid w:val="005276F3"/>
    <w:rsid w:val="006D335C"/>
    <w:rsid w:val="00752B62"/>
    <w:rsid w:val="00B461AA"/>
    <w:rsid w:val="00BD1079"/>
    <w:rsid w:val="00C22222"/>
    <w:rsid w:val="00D33C9A"/>
    <w:rsid w:val="00D5262A"/>
    <w:rsid w:val="00D56E8D"/>
    <w:rsid w:val="00EA1AC7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5F8E"/>
  <w15:docId w15:val="{28EAD645-4D62-4FAD-BF80-BA17FBF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2026-01-30T11:58:00Z</dcterms:created>
  <dcterms:modified xsi:type="dcterms:W3CDTF">2026-01-30T12:00:00Z</dcterms:modified>
</cp:coreProperties>
</file>